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Quality and testing professional with over 8 years of experience in highly regulated environments such as global banking and healthcare. Experienced in executing meticulous documentation reviews, following Standard Operating Procedures (SOPs), and ensuring strict adherence to compliance standards. Currently holding a valid EU residence permit in the Netherlands and ready to bring a strong focus on process accuracy and quality assurance to Bristol Myers Squibb.</w:t>
      </w:r>
    </w:p>
    <w:p>
      <w:pPr>
        <w:pStyle w:val="Heading1"/>
      </w:pPr>
      <w:r>
        <w:t xml:space="preserve"> KEY QUALIFICATIONS FOR TARGET ROLE</w:t>
      </w:r>
    </w:p>
    <w:p>
      <w:r>
        <w:t>▸ Documented over 15 Standard Operating Procedures (SOPs), successfully increasing overall team efficiency by 30% while ensuring strict process alignment.</w:t>
      </w:r>
    </w:p>
    <w:p>
      <w:r>
        <w:t>▸ Executed complex backend data validations and maintained comprehensive quality documentation to guarantee complete data integrity in regulated environments.</w:t>
      </w:r>
    </w:p>
    <w:p>
      <w:r>
        <w:t>▸ Managed defect tracking on JIRA and maintained compliance records with updated information to ensure total alignment with business requirements.</w:t>
      </w:r>
    </w:p>
    <w:p>
      <w:r>
        <w:t>▸ Collaborated closely with crossfunctional teams and stakeholders to communicate release objectives, troubleshoot issues, and follow written and verbal instructions precisely.</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