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executing complex technical and functional testing. Brings strong expertise in SQL, API testing, and Agile environments to ensure high software quality for financial and public sector applications. Currently holds a valid EU residence permit and is based in Amstelveen, ready to start immediately.</w:t>
      </w:r>
    </w:p>
    <w:p>
      <w:pPr>
        <w:pStyle w:val="Heading1"/>
      </w:pPr>
      <w:r>
        <w:t xml:space="preserve"> KEY QUALIFICATIONS FOR TARGET ROLE</w:t>
      </w:r>
    </w:p>
    <w:p>
      <w:r>
        <w:t>▸ Executed complex Oracle SQL queries to validate massive datasets and ensure strict data integrity across backend credit risk and database workflows.</w:t>
      </w:r>
    </w:p>
    <w:p>
      <w:r>
        <w:t>▸ Created and maintained test automation frameworks utilizing Java Selenium, Playwright TypeScript, and BDD Cucumber to support continuous delivery.</w:t>
      </w:r>
    </w:p>
    <w:p>
      <w:r>
        <w:t>▸ Collaborated with crossfunctional teams, SREs, and product owners to translate business requirements into robust test strategies and reduce defect leakage.</w:t>
      </w:r>
    </w:p>
    <w:p>
      <w:r>
        <w:t>▸ Integrated CI/CD pipelines using Jenkins, Docker, and AWS to run scheduled regression test builds and provision reliable test environments.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