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Quality and process professional with over 8 years of experience optimizing systems, writing clear standard operating procedures, and managing compliance standards for regulated industries. Skilled at translating complex requirements into practical working processes, documenting workflows, and aligning teams to ensure consistent quality across multiple locations. Brings a strong analytical background, a structured approach to problem-solving, and hands-on experience preparing for audits and handling incident management.</w:t>
      </w:r>
    </w:p>
    <w:p>
      <w:pPr>
        <w:pStyle w:val="Heading1"/>
      </w:pPr>
      <w:r>
        <w:t xml:space="preserve"> KEY QUALIFICATIONS FOR TARGET ROLE</w:t>
      </w:r>
    </w:p>
    <w:p>
      <w:r>
        <w:t>▸ Documented over 15 Standard Operating Procedures (SOP), successfully increasing overall team efficiency by 30% and ensuring clear, workable processes.</w:t>
      </w:r>
    </w:p>
    <w:p>
      <w:r>
        <w:t>▸ Managed compliance and quality reporting, earning an On the Spot Award for exemplary efforts and major contributions to quality standards.</w:t>
      </w:r>
    </w:p>
    <w:p>
      <w:r>
        <w:t>▸ Worked closely with crossfunctional stakeholders and PMO teams to analyze service reports, track incidents, and maintain alignment with business requirements.</w:t>
      </w:r>
    </w:p>
    <w:p>
      <w:r>
        <w:t>▸ Experienced in process optimization, defining clear workflows, and ensuring that quality criteria are consistently applied across operations.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