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software testing frameworks using Java, Selenium, and TypeScript Playwright. Experienced in managing cross-functional Agile teams, coordinating releases, and validating complex backend systems for financial and enterprise clients. Currently based in Amstelveen with a valid EU residence permit and ready to bring structured engineering and testing practices to industrial automation projects.</w:t>
      </w:r>
    </w:p>
    <w:p>
      <w:pPr>
        <w:pStyle w:val="Heading1"/>
      </w:pPr>
      <w:r>
        <w:t xml:space="preserve"> KEY QUALIFICATIONS FOR TARGET ROLE</w:t>
      </w:r>
    </w:p>
    <w:p>
      <w:r>
        <w:t>▸ Architected and maintained scalable automation frameworks utilizing Java Selenium WebDriver and TypeScript Playwright across microservices architectures.</w:t>
      </w:r>
    </w:p>
    <w:p>
      <w:r>
        <w:t>▸ Collaborated closely with crossfunctional teams and product owners to translate business requirements into technical testing and validation strategies.</w:t>
      </w:r>
    </w:p>
    <w:p>
      <w:r>
        <w:t>▸ Provisioned infrastructure and test environments using AWS, Docker, and Terraform to support continuous integration and deployment pipelines.</w:t>
      </w:r>
    </w:p>
    <w:p>
      <w:r>
        <w:t>▸ Executed complex backend data validation using Oracle SQL to ensure strict integrity and reliability across critical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