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CI/CD pipelines for regulated financial and software clients. Adept at cross-functional stakeholder management, requirements traceability, and backend validation using Java, Selenium, Playwright, and AWS. Bringing a structured approach to system validation and test execution to support complex architectural environments.</w:t>
      </w:r>
    </w:p>
    <w:p>
      <w:pPr>
        <w:pStyle w:val="Heading1"/>
      </w:pPr>
      <w:r>
        <w:t xml:space="preserve"> KEY QUALIFICATIONS FOR TARGET ROLE</w:t>
      </w:r>
    </w:p>
    <w:p>
      <w:r>
        <w:t>▸ Architected automated test frameworks and executed endtoend performance validation workflows using Java, Selenium, and Playwright across microservices architectures.</w:t>
      </w:r>
    </w:p>
    <w:p>
      <w:r>
        <w:t>▸ Led crossfunctional alignment with SRE and product teams to translate business requirements into technical testing strategies and reduce defect leakage.</w:t>
      </w:r>
    </w:p>
    <w:p>
      <w:r>
        <w:t>▸ Implemented CI/CD pipelines and provisioned reliable test environments using AWS, Terraform, and Docker to ensure continuous delivery and system stability.</w:t>
      </w:r>
    </w:p>
    <w:p>
      <w:r>
        <w:t>▸ Executed complex backend and database validation tasks utilizing Oracle SQL to maintain data integrity across distributed system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