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using Java Selenium and TypeScript Playwright. Currently holding a valid EU residence permit in Amstelveen, I bring strong hands-on expertise in mobile applications, backend validation, and test execution. I am eager to apply my technical background to support Fairphone's hardware-software ecosystem and ensure high release stability.</w:t>
      </w:r>
    </w:p>
    <w:p>
      <w:pPr>
        <w:pStyle w:val="Heading1"/>
      </w:pPr>
      <w:r>
        <w:t xml:space="preserve"> KEY QUALIFICATIONS FOR TARGET ROLE</w:t>
      </w:r>
    </w:p>
    <w:p>
      <w:r>
        <w:t>▸ Executed functional, UI/UX, and regression test suites across mobile and software environments, logging detailed defect reports with clear reproduction steps.</w:t>
      </w:r>
    </w:p>
    <w:p>
      <w:r>
        <w:t>▸ Migrated SeleniumJava frameworks to Playwright TypeScript, boosting execution efficiency by 20% across complex endtoend workflows.</w:t>
      </w:r>
    </w:p>
    <w:p>
      <w:r>
        <w:t>▸ Performed backend validation and database checks using Oracle SQL to maintain data integrity across releases.</w:t>
      </w:r>
    </w:p>
    <w:p>
      <w:r>
        <w:t>▸ Collaborated with crossfunctional and SRE teams to analyze deployment builds, run regression checklists, and reduce defect leakage.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