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leading technical teams in regulated industries. Proficient in Java, Playwright, TypeScript, and CI/CD pipeline architecture, with a strong focus on bridging business requirements and technical testing strategies. Currently holding a valid EU residence permit in Amstelveen, I bring hands-on experience in writing functional design specifications and managing stakeholder alignment.</w:t>
      </w:r>
    </w:p>
    <w:p>
      <w:pPr>
        <w:pStyle w:val="Heading1"/>
      </w:pPr>
      <w:r>
        <w:t xml:space="preserve"> KEY QUALIFICATIONS FOR TARGET ROLE</w:t>
      </w:r>
    </w:p>
    <w:p>
      <w:r>
        <w:t>▸ Led crossfunctional Agile teams and hosted targeted syncs with SRE and development groups to align on release objectives and functional requirements prior to deployment.</w:t>
      </w:r>
    </w:p>
    <w:p>
      <w:r>
        <w:t>▸ Authored and maintained technical testing strategies, writing comprehensive test protocols and frameworks using Java Selenium and TypeScript Playwright.</w:t>
      </w:r>
    </w:p>
    <w:p>
      <w:r>
        <w:t>▸ Managed client contact and crossfunctional collaboration to translate business needs into technical execution plans, reducing defect leakage.</w:t>
      </w:r>
    </w:p>
    <w:p>
      <w:r>
        <w:t>▸ Provisioned infrastructure and automated continuous integration pipelines using AWS, Terraform, and Jenkins to support complex software releases.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