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 frameworks, managing CI/CD pipelines, and ensuring system reliability for complex technical clients. Experienced in automating workflows, validating backend systems, and coordinating cross-functional technical teams to meet strict operational requirements. Currently based in Amstelveen with a valid EU residence permit, bringing strong analytical skills and a practical approach to engineering challenges.</w:t>
      </w:r>
    </w:p>
    <w:p>
      <w:pPr>
        <w:pStyle w:val="Heading1"/>
      </w:pPr>
      <w:r>
        <w:t xml:space="preserve"> KEY QUALIFICATIONS FOR TARGET ROLE</w:t>
      </w:r>
    </w:p>
    <w:p>
      <w:r>
        <w:t>▸ Applied strong analytical skills and technical problemsolving to translate functional requirements into effective testing strategies and structured workflows.</w:t>
      </w:r>
    </w:p>
    <w:p>
      <w:r>
        <w:t>▸ Coordinated closely with crossfunctional technical teams, SREs, and stakeholders to ensure clear communication and steady project progress.</w:t>
      </w:r>
    </w:p>
    <w:p>
      <w:r>
        <w:t>▸ Managed endtoend testing processes, performed rigorous system validations, and maintained detailed technical documentation to support reliable deployments.</w:t>
      </w:r>
    </w:p>
    <w:p>
      <w:r>
        <w:t>▸ Demonstrated proactive ownership in driving quality control, resolving technical bottlenecks, and optimizing system performance.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