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integrating testing into CI/CD pipelines. Hands-on experience migrating Selenium frameworks to Playwright TypeScript, executing API testing, and utilizing AI tools for efficient test generation. Currently residing in Amstelveen with a valid EU residence permit, ready to work on-site in Rotterdam.</w:t>
      </w:r>
    </w:p>
    <w:p>
      <w:pPr>
        <w:pStyle w:val="Heading1"/>
      </w:pPr>
      <w:r>
        <w:t xml:space="preserve"> KEY QUALIFICATIONS FOR TARGET ROLE</w:t>
      </w:r>
    </w:p>
    <w:p>
      <w:r>
        <w:t>▸ Migrated a SeleniumJava framework to Playwright TypeScript for endtoend workflows, boosting execution efficiency by 20%.</w:t>
      </w:r>
    </w:p>
    <w:p>
      <w:r>
        <w:t>▸ Implemented CI/CD pipelines and ran scheduled automation regression test builds via Jenkins while maintaining high reliability.</w:t>
      </w:r>
    </w:p>
    <w:p>
      <w:r>
        <w:t>▸ Executed API validation and backend testing across complex financial workflows using REST Assured and Oracle SQL.</w:t>
      </w:r>
    </w:p>
    <w:p>
      <w:r>
        <w:t>▸ Streamlined complex test generation and deployment scripts utilizing AI tools like Gemini Code Assist to remove manual toil.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