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validating complex datasets for regulated financial and enterprise clients. Skilled in translating business requirements into system configurations, executing User Acceptance Testing (UAT), and ensuring compliance and data integrity. Currently holding a valid EU residence permit in the Netherlands, I bring strong problem-solving and stakeholder management skills to support digital QC laboratory operations.</w:t>
      </w:r>
    </w:p>
    <w:p>
      <w:pPr>
        <w:pStyle w:val="Heading1"/>
      </w:pPr>
      <w:r>
        <w:t xml:space="preserve"> KEY QUALIFICATIONS FOR TARGET ROLE</w:t>
      </w:r>
    </w:p>
    <w:p>
      <w:r>
        <w:t>▸ Executed complex database queries and data validation to ensure strict data integrity and compliance across backend workflows in highly regulated environments.</w:t>
      </w:r>
    </w:p>
    <w:p>
      <w:r>
        <w:t>▸ Translated business and operational requirements into technical testing strategies and system configurations, collaborating closely with crossfunctional teams and product owners.</w:t>
      </w:r>
    </w:p>
    <w:p>
      <w:r>
        <w:t>▸ Supported User Acceptance Testing (UAT), release management, and continuous improvement initiatives to optimize operational processes and system performance.</w:t>
      </w:r>
    </w:p>
    <w:p>
      <w:r>
        <w:t>▸ Managed defect tracking and documentation in alignment with compliance processes, quality systems, and regulatory standards.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