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 frameworks and automating complex backend and cloud environments using Java, Python, and AWS. Experienced in executing security validation, API testing with RestAssured, and working closely with development and SRE teams to identify system bottlenecks. Holds a valid EU residence permit and brings a strong technical foundation in full-stack IT systems, infrastructure, and CI/CD pipelines.</w:t>
      </w:r>
    </w:p>
    <w:p>
      <w:pPr>
        <w:pStyle w:val="Heading1"/>
      </w:pPr>
      <w:r>
        <w:t xml:space="preserve"> KEY QUALIFICATIONS FOR TARGET ROLE</w:t>
      </w:r>
    </w:p>
    <w:p>
      <w:r>
        <w:t>▸ Executed complex backend and database validation using Oracle SQL to ensure strict data integrity and system reliability across critical financial workflows.</w:t>
      </w:r>
    </w:p>
    <w:p>
      <w:r>
        <w:t>▸ Built and maintained scalable test automation frameworks using Java Selenium, Playwright TypeScript, and Python within microservices architectures.</w:t>
      </w:r>
    </w:p>
    <w:p>
      <w:r>
        <w:t>▸ Provisioned and managed cloud test environments and CI/CD pipelines utilizing AWS, Terraform, Docker, and Linux to maintain high availability and continuous delivery.</w:t>
      </w:r>
    </w:p>
    <w:p>
      <w:r>
        <w:t>▸ Collaborated closely with crossfunctional SRE and development teams to analyze release objectives, identify operational bottlenecks, and reduce defect leakage.</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