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testing frameworks and validating complex backend systems for financial and regulated clients. Experienced in managing stakeholder alignment, reviewing test processes, and ensuring software integrity through detailed test planning. Currently holding a valid EU residence permit in Amstelveen, I bring strong analytical skills to assess technical requirements and support secure release management.</w:t>
      </w:r>
    </w:p>
    <w:p>
      <w:pPr>
        <w:pStyle w:val="Heading1"/>
      </w:pPr>
      <w:r>
        <w:t xml:space="preserve"> KEY QUALIFICATIONS FOR TARGET ROLE</w:t>
      </w:r>
    </w:p>
    <w:p>
      <w:r>
        <w:t>▸ Analyzed and translated complex business requirements and risk scenarios into effective technical testing strategies across global banking and financial systems.</w:t>
      </w:r>
    </w:p>
    <w:p>
      <w:r>
        <w:t>▸ Reviewed and executed endtoend workflow tests, migrating frameworks to Playwright TypeScript and performing backend validation using Oracle SQL to ensure strict data integrity.</w:t>
      </w:r>
    </w:p>
    <w:p>
      <w:r>
        <w:t>▸ Collaborated closely with crossfunctional teams and SREs to explain release objectives, identify technical bottlenecks, and reduce defect leakage before deployment.</w:t>
      </w:r>
    </w:p>
    <w:p>
      <w:r>
        <w:t>▸ Managed defect tracking and documentation using JIRA and HP ALM, ensuring full alignment with project standards and security requirements.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