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and validating complex backend workflows for financial clients. Experienced in cross-functional stakeholder management, risk analysis, and setting up automated CI/CD validation pipelines. Currently holding a valid EU residence permit in the Netherlands and ready to bring a structured, quality-first approach to RDW's automotive testing team.</w:t>
      </w:r>
    </w:p>
    <w:p>
      <w:pPr>
        <w:pStyle w:val="Heading1"/>
      </w:pPr>
      <w:r>
        <w:t xml:space="preserve"> KEY QUALIFICATIONS FOR TARGET ROLE</w:t>
      </w:r>
    </w:p>
    <w:p>
      <w:r>
        <w:t>▸ Analyzed complex backend data and credit risk workflows using Oracle SQL and automated testing tools to ensure strict adherence to system requirements.</w:t>
      </w:r>
    </w:p>
    <w:p>
      <w:r>
        <w:t>▸ Collaborated with crossfunctional teams and SREs to explain release objectives, identify potential risks, and significantly reduce defect leakage.</w:t>
      </w:r>
    </w:p>
    <w:p>
      <w:r>
        <w:t>▸ Migrated and maintained robust automation frameworks (Selenium to Playwright TypeScript) to execute endtoend testing and improve execution efficiency.</w:t>
      </w:r>
    </w:p>
    <w:p>
      <w:r>
        <w:t>▸ Managed defect tracking processes using JIRA and maintained detailed documentation to ensure full alignment with project compliance needs.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