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extensive experience building scalable test frameworks, CI/CD pipelines, and integrating automated checks into development workflows. Brings strong expertise in Playwright, TypeScript, and modern testing standards to help maintain a reliable component library. Currently based in the Netherlands with a valid EU residence permit and ready to contribute to Rentman's product engineering team.</w:t>
      </w:r>
    </w:p>
    <w:p>
      <w:pPr>
        <w:pStyle w:val="Heading1"/>
      </w:pPr>
      <w:r>
        <w:t xml:space="preserve"> KEY QUALIFICATIONS FOR TARGET ROLE</w:t>
      </w:r>
    </w:p>
    <w:p>
      <w:r>
        <w:t>▸ Migrated SeleniumJava frameworks to Playwright TypeScript for endtoend workflows, boosting test execution efficiency by 20%.</w:t>
      </w:r>
    </w:p>
    <w:p>
      <w:r>
        <w:t>▸ Implemented CI/CD automation regression test builds via Jenkins and integrated reporting tools to monitor test health.</w:t>
      </w:r>
    </w:p>
    <w:p>
      <w:r>
        <w:t>▸ Collaborated with crossfunctional teams and SREs to define release objectives and ensure high code and test coverage standards.</w:t>
      </w:r>
    </w:p>
    <w:p>
      <w:r>
        <w:t>▸ Streamlined test generation and deployment scripts using modern automation tools and code assistants.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