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8 years of experience building scalable test strategies and executing complex end-to-end migrations for financial clients. Skilled in data validation, test planning, and collaborating closely with product owners and business users to ensure seamless system transitions. Holds a valid EU residence permit and is based in Amstelveen, ready to support migration testing at A2G Consulting.</w:t>
      </w:r>
    </w:p>
    <w:p>
      <w:pPr>
        <w:pStyle w:val="Heading1"/>
      </w:pPr>
      <w:r>
        <w:t xml:space="preserve"> KEY QUALIFICATIONS FOR TARGET ROLE</w:t>
      </w:r>
    </w:p>
    <w:p>
      <w:r>
        <w:t>▸ Defined and executed endtoend testing strategies, test plans, and scenarios for banking and financial migration projects, ensuring full system completeness and functional accuracy.</w:t>
      </w:r>
    </w:p>
    <w:p>
      <w:r>
        <w:t>▸ Executed complex Oracle SQL queries to validate massive backend datasets and ensure data integrity across credit risk and migration workflows.</w:t>
      </w:r>
    </w:p>
    <w:p>
      <w:r>
        <w:t>▸ Managed defect tracking lifecycle from identification through resolution using JIRA, maintaining clear status reporting for stakeholders and SRE teams.</w:t>
      </w:r>
    </w:p>
    <w:p>
      <w:r>
        <w:t>▸ Partnered with Product Owners and crossfunctional teams to align on testing scope, assess project risks, and drive structured testing practices through release cycles.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