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Systems and QA Engineer with over 8 years of experience in troubleshooting complex technical workflows, resolving critical issues, and collaborating across multi-disciplinary teams. Background includes hands-on root cause analysis, infrastructure management, and maintaining high system availability. Eager to bring strong problem-solving skills and a practical approach to the Competence Engineer role at ASML.</w:t>
      </w:r>
    </w:p>
    <w:p>
      <w:pPr>
        <w:pStyle w:val="Heading1"/>
      </w:pPr>
      <w:r>
        <w:t xml:space="preserve"> KEY QUALIFICATIONS FOR TARGET ROLE</w:t>
      </w:r>
    </w:p>
    <w:p>
      <w:r>
        <w:t>▸ Troubleshot and resolved critical technical issues and release bottlenecks by collaborating closely with SRE and multidisciplinary teams.</w:t>
      </w:r>
    </w:p>
    <w:p>
      <w:r>
        <w:t>▸ Managed technical escalations and analyzed system workflows to identify root causes and implement lasting solutions.</w:t>
      </w:r>
    </w:p>
    <w:p>
      <w:r>
        <w:t>▸ Created and reviewed technical documentation, Standard Operating Procedures (SOP), and action plans to ensure high execution quality.</w:t>
      </w:r>
    </w:p>
    <w:p>
      <w:r>
        <w:t>▸ Maintained high system uptime and operational reliability through rigorous testing, validation, and continuous process improvement.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