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analyzing complex datasets, defining testing strategies, and optimizing processes for financial and technical clients. Skilled in uncovering patterns in data, collaborating with cross-functional teams, and turning insights into practical improvements. Holds a valid EU residence permit and is based in Amstelveen, ready to bring a strong analytical mindset to the Compliance team at Budget Thuis.</w:t>
      </w:r>
    </w:p>
    <w:p>
      <w:pPr>
        <w:pStyle w:val="Heading1"/>
      </w:pPr>
      <w:r>
        <w:t xml:space="preserve"> KEY QUALIFICATIONS FOR TARGET ROLE</w:t>
      </w:r>
    </w:p>
    <w:p>
      <w:r>
        <w:t>▸ Analyzed massive datasets using complex Oracle SQL queries and backend validation workflows to ensure strict data integrity and compliance.</w:t>
      </w:r>
    </w:p>
    <w:p>
      <w:r>
        <w:t>▸ Collaborated closely with product owners, SRE teams, and stakeholders to translate business requirements into technical quality standards and reduce defect leakage.</w:t>
      </w:r>
    </w:p>
    <w:p>
      <w:r>
        <w:t>▸ Leveraged modern tools like AIassisted deployment scripts and reporting dashboards to streamline processes and track performance metrics.</w:t>
      </w:r>
    </w:p>
    <w:p>
      <w:r>
        <w:t>▸ Documented over 15 Standard Operating Procedures (SOP) and workflows, increasing operational team efficiency by 30%.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