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automation frameworks and managing testing processes in regulated environments. Proficient in Java Selenium, Playwright, Oracle SQL, and API testing, with strong experience collaborating in Agile Scrum teams. Currently based in Amstelveen with a valid EU residence permit, I am eager to contribute my testing expertise to ensure reliable digital services at CBR.</w:t>
      </w:r>
    </w:p>
    <w:p>
      <w:pPr>
        <w:pStyle w:val="Heading1"/>
      </w:pPr>
      <w:r>
        <w:t xml:space="preserve"> KEY QUALIFICATIONS FOR TARGET ROLE</w:t>
      </w:r>
    </w:p>
    <w:p>
      <w:r>
        <w:t>▸ Managed testware and built scalable automation frameworks utilizing Java Selenium and Playwright TypeScript to execute comprehensive functional, system, and regression tests.</w:t>
      </w:r>
    </w:p>
    <w:p>
      <w:r>
        <w:t>▸ Executed complex Oracle SQL queries to validate massive datasets and ensure data integrity across backend workflows and financial systems.</w:t>
      </w:r>
    </w:p>
    <w:p>
      <w:r>
        <w:t>▸ Collaborated closely with crossfunctional Agile Scrum teams, product owners, and stakeholders to translate requirements into effective testing strategies and risk assessments.</w:t>
      </w:r>
    </w:p>
    <w:p>
      <w:r>
        <w:t>▸ Integrated automated CI/CD regression test builds using Jenkins and AWS environments to ensure rapid feedback cycles and high release stability.</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