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testing frameworks and managing quality processes for regulated clients. Brings strong analytical skills, process optimization experience, and a detail-oriented approach to monitoring defect trends and ensuring compliance. Holds a valid EU residence permit and is based in Amstelveen, ready to support distribution center operations at Dr. Martens.</w:t>
      </w:r>
    </w:p>
    <w:p>
      <w:pPr>
        <w:pStyle w:val="Heading1"/>
      </w:pPr>
      <w:r>
        <w:t xml:space="preserve"> KEY QUALIFICATIONS FOR TARGET ROLE</w:t>
      </w:r>
    </w:p>
    <w:p>
      <w:r>
        <w:t>▸ Leveraged strong analytical skills and data quality assurance practices to monitor defect trends, identify root causes, and reduce defect leakage across complex workflows.</w:t>
      </w:r>
    </w:p>
    <w:p>
      <w:r>
        <w:t>▸ Documented over 15 Standard Operating Procedures (SOP) and improved operational efficiency and process compliance by 30% in previous roles.</w:t>
      </w:r>
    </w:p>
    <w:p>
      <w:r>
        <w:t>▸ Collaborated closely with crossfunctional teams, clients, and senior leadership to manage requirements, ensure audit readiness, and resolve operational bottlenecks.</w:t>
      </w:r>
    </w:p>
    <w:p>
      <w:r>
        <w:t>▸ Possesses a valid EU residence permit and full work authorization in the Netherlands, meeting all local employment requirements.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