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in optimizing automated pipelines, managing test infrastructure, and supporting software-hardware integration for complex systems. Possesses a strong background in cloud orchestration, backend data validation, and cross-functional stakeholder management. Currently based in the Netherlands with a valid EU residence permit, ready to contribute technical rigor to the European Space Agency.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Architected automated CI/CD pipelines and provisioned underlying test environments using Terraform, AWS, and Linux to ensure seamless continuous delivery and high availability.</w:t>
      </w:r>
    </w:p>
    <w:p>
      <w:pPr>
        <w:pStyle w:val="ListBullet"/>
      </w:pPr>
      <w:r>
        <w:t>Migrated framework architectures to boost execution efficiency by 20% and executed complex SQL queries to validate massive datasets, ensuring strict data integrity across workflows.</w:t>
      </w:r>
    </w:p>
    <w:p>
      <w:pPr>
        <w:pStyle w:val="ListBullet"/>
      </w:pPr>
      <w:r>
        <w:t>Collaborated closely with cross-functional SRE and development teams to explain release objectives, identify critical bottlenecks, and reduce defect leakage prior to deployment.</w:t>
      </w:r>
    </w:p>
    <w:p>
      <w:pPr>
        <w:pStyle w:val="ListBullet"/>
      </w:pPr>
      <w:r>
        <w:t>Managed defect tracking, requirements alignment, and process optimization by documenting Standard Operating Procedures (SOPs) to increase overall team efficiency by 30%.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