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processes for regulated financial clients. Experienced in cross-functional stakeholder management, requirement analysis, and rigorous validation activities. Currently residing in Amstelveen with a valid EU residence permit and full work authorization.</w:t>
      </w:r>
    </w:p>
    <w:p>
      <w:pPr>
        <w:pStyle w:val="Heading1"/>
      </w:pPr>
      <w:r>
        <w:t xml:space="preserve"> KEY QUALIFICATIONS FOR TARGET ROLE</w:t>
      </w:r>
    </w:p>
    <w:p>
      <w:r>
        <w:t>▸ Provided quality oversight for release objectives and user stories prior to deployment, successfully identifying critical bottleneck areas which reduced defect leakage.</w:t>
      </w:r>
    </w:p>
    <w:p>
      <w:r>
        <w:t>▸ Reviewed and executed validation and verification activities across complex software environments, ensuring compliance with strict internal quality standards.</w:t>
      </w:r>
    </w:p>
    <w:p>
      <w:r>
        <w:t>▸ Partnered with crossfunctional stakeholders including SRE, QA, and product teams to translate requirements into technical testing strategies and maintain system compliance.</w:t>
      </w:r>
    </w:p>
    <w:p>
      <w:r>
        <w:t>▸ Contributed to quality improvement initiatives, managing defect tracking on JIRA and maintaining uptodate documentation aligned with business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