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validating financial datasets. Highly skilled in executing backend data validation, SQL queries, and ensuring compliance across complex banking workflows. Brings a strong background in stakeholder management and continuous process improvement within regulated financial environments.</w:t>
      </w:r>
    </w:p>
    <w:p>
      <w:pPr>
        <w:pStyle w:val="Heading1"/>
      </w:pPr>
      <w:r>
        <w:t xml:space="preserve"> KEY QUALIFICATIONS FOR TARGET ROLE</w:t>
      </w:r>
    </w:p>
    <w:p>
      <w:r>
        <w:t>▸ Executed complex Oracle SQL queries to validate massive datasets and ensure strict data integrity across backend credit risk workflows.</w:t>
      </w:r>
    </w:p>
    <w:p>
      <w:r>
        <w:t>▸ Partnered with crossfunctional teams, clients, and senior leadership to identify process improvements and leverage efficiencies across operations.</w:t>
      </w:r>
    </w:p>
    <w:p>
      <w:r>
        <w:t>▸ Integrated test coverage reports and ensured high release stability for critical financial applications and microservices architecture.</w:t>
      </w:r>
    </w:p>
    <w:p>
      <w:r>
        <w:t>▸ Documented standard operating procedures and maintained clear traceability to support alignment with business requirements and compliance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