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professional with over 8 years of experience in quality assurance, process optimization, and defect management across regulated environments. Holds a Bachelor of Engineering in Computer Science and brings strong analytical skills to root cause problem solving and adherence to quality standards. Currently located in Amstelveen with a valid EU residence permit and ready to contribute to the Johnson &amp; Johnson team in Leiden.</w:t>
      </w:r>
    </w:p>
    <w:p>
      <w:pPr>
        <w:pStyle w:val="Heading1"/>
      </w:pPr>
      <w:r>
        <w:t xml:space="preserve"> KEY QUALIFICATIONS FOR TARGET ROLE</w:t>
      </w:r>
    </w:p>
    <w:p>
      <w:r>
        <w:t>▸ Applied rigorous testing methodologies and root cause analysis to identify critical bottleneck areas, directly reducing defect leakage in highcompliance environments.</w:t>
      </w:r>
    </w:p>
    <w:p>
      <w:r>
        <w:t>▸ Documented over 15 Standard Operating Procedures (SOP), increasing overall team process efficiency and supporting structured compliance.</w:t>
      </w:r>
    </w:p>
    <w:p>
      <w:r>
        <w:t>▸ Collaborated closely with crossfunctional teams, SREs, and stakeholders to manage releases, track issues in JIRA, and ensure adherence to quality standards.</w:t>
      </w:r>
    </w:p>
    <w:p>
      <w:r>
        <w:t>▸ Utilized data analysis and database validation to ensure data integrity across complex backend workflows and reporting systems.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