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building automation frameworks, managing testing strategies, and ensuring compliance in regulated financial environments. Brings strong stakeholder management skills and experience leading cross-functional teams to align technical processes with business requirements. Currently based in Amstelveen with a valid EU residence permit and available to start immediately.</w:t>
      </w:r>
    </w:p>
    <w:p>
      <w:pPr>
        <w:pStyle w:val="Heading1"/>
      </w:pPr>
      <w:r>
        <w:t xml:space="preserve"> KEY QUALIFICATIONS FOR TARGET ROLE</w:t>
      </w:r>
    </w:p>
    <w:p>
      <w:r>
        <w:t>▸ Led crossfunctional teams and managed stakeholder communications to align technical testing strategies with business needs.</w:t>
      </w:r>
    </w:p>
    <w:p>
      <w:r>
        <w:t>▸ Maintained rigorous quality management processes and tracked issues systematically using JIRA and HP ALM to ensure high release stability.</w:t>
      </w:r>
    </w:p>
    <w:p>
      <w:r>
        <w:t>▸ Optimized operational processes, documented standard operating procedures, and improved overall team efficiency by 30%.</w:t>
      </w:r>
    </w:p>
    <w:p>
      <w:r>
        <w:t>▸ Collaborated with SRE and deployment teams to mitigate risks and reduce defect leakage prior to production releases.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