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Systems Engineer with extensive experience supporting mission-critical systems and high-performance applications in highly regulated environments. Adept at managing Linux/Unix environments, utilizing Python and Bash for infrastructure automation, and executing complex SQL queries for data validation. Brings a strong background in cross-functional collaboration and high-pressure release management to Quant Capital's trading infrastructure team.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Architected automated CI/CD pipelines and provisioned underlying test and production environments using Terraform, AWS, and robust Linux/Unix environments to maintain high availability.</w:t>
      </w:r>
    </w:p>
    <w:p>
      <w:pPr>
        <w:pStyle w:val="ListBullet"/>
      </w:pPr>
      <w:r>
        <w:t>Executed complex Oracle SQL queries to validate massive datasets and ensure strict data integrity across backend workflows and mission-critical systems.</w:t>
      </w:r>
    </w:p>
    <w:p>
      <w:pPr>
        <w:pStyle w:val="ListBullet"/>
      </w:pPr>
      <w:r>
        <w:t>Streamlined complex test generation and deployment scripts utilizing automation tools, Bash, and Python, ensuring rapid feedback cycles and high release stability.</w:t>
      </w:r>
    </w:p>
    <w:p>
      <w:pPr>
        <w:pStyle w:val="ListBullet"/>
      </w:pPr>
      <w:r>
        <w:t>Collaborated closely with SRE teams, developers, and senior leadership to explain deployment objectives, identify critical bottleneck areas, and reduce system defect leakage.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