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frameworks, managing stakeholder relationships, and coordinating cross-functional technical teams. Experienced in translating complex technical requirements into actionable engineering strategies within regulated environments. Currently residing in Amstelveen with a valid EU residence permit and ready to bring strong organizational and technical skills to Stedin.</w:t>
      </w:r>
    </w:p>
    <w:p>
      <w:pPr>
        <w:pStyle w:val="Heading1"/>
      </w:pPr>
      <w:r>
        <w:t xml:space="preserve"> KEY QUALIFICATIONS FOR TARGET ROLE</w:t>
      </w:r>
    </w:p>
    <w:p>
      <w:r>
        <w:t>▸ Managed crossfunctional stakeholder alignment by hosting regular coordination calls with SRE and product teams to translate business needs into clear technical requirements.</w:t>
      </w:r>
    </w:p>
    <w:p>
      <w:r>
        <w:t>▸ Led automation framework development and migration projects, coordinating engineering tasks and ensuring high quality across delivery phases.</w:t>
      </w:r>
    </w:p>
    <w:p>
      <w:r>
        <w:t>▸ Maintained clear project documentation and tracked progress closely using tools like JIRA to ensure teams remained aligned on delivery goals.</w:t>
      </w:r>
    </w:p>
    <w:p>
      <w:r>
        <w:t>▸ Facilitated agile standups and partner connects to keep internal and external parties updated on project timelines and quality metrics.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