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building scalable test automation frameworks and ensuring high software quality for enterprise-level applications. Highly proficient in TypeScript, Playwright, CI/CD orchestration, and modern web architectures. Eager to bring strong technical leadership and rigorous testing strategies to Suitsupply's new headless storefront platform.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Spearheaded the migration of a Selenium-Java framework to Playwright TypeScript for complex end-to-end workflows, boosting execution efficiency by 20%.</w:t>
      </w:r>
    </w:p>
    <w:p>
      <w:pPr>
        <w:pStyle w:val="ListBullet"/>
      </w:pPr>
      <w:r>
        <w:t>Collaborated closely with cross-functional development, product, and SRE teams to define robust testing strategies and architectural quality gates prior to production deployments.</w:t>
      </w:r>
    </w:p>
    <w:p>
      <w:pPr>
        <w:pStyle w:val="ListBullet"/>
      </w:pPr>
      <w:r>
        <w:t>Engineered and maintained automated CI/CD pipelines utilizing Jenkins, Docker, and AWS infrastructure to ensure continuous delivery and high platform reliability.</w:t>
      </w:r>
    </w:p>
    <w:p>
      <w:pPr>
        <w:pStyle w:val="ListBullet"/>
      </w:pPr>
      <w:r>
        <w:t>Integrated modern reporting tools like Sealights and Allure to deliver comprehensive test coverage metrics and enhance production observability.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