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 frameworks and automating complex validation workflows using Python, Java, and Selenium. Proven track record in translating technical requirements into comprehensive test cases, analyzing test results, and improving test methods for high-tech client systems. Currently based in Amstelveen with a valid EU residence permit, ready to contribute effectively to the R&amp;D team at Trinamics.</w:t>
      </w:r>
    </w:p>
    <w:p>
      <w:pPr>
        <w:pStyle w:val="Heading1"/>
      </w:pPr>
      <w:r>
        <w:t xml:space="preserve"> KEY QUALIFICATIONS FOR TARGET ROLE</w:t>
      </w:r>
    </w:p>
    <w:p>
      <w:r>
        <w:t>▸ Developed and maintained scalable test automation frameworks to execute comprehensive regression and functional testing, increasing execution efficiency by 20%.</w:t>
      </w:r>
    </w:p>
    <w:p>
      <w:r>
        <w:t>▸ Translated technical requirements from product owners and system architects into clear and comprehensive test cases for complex workflows.</w:t>
      </w:r>
    </w:p>
    <w:p>
      <w:r>
        <w:t>▸ Automated manual tests and built continuous integration pipelines using Jenkins, AWS, and Docker to make validation faster, more reliable, and repeatable.</w:t>
      </w:r>
    </w:p>
    <w:p>
      <w:r>
        <w:t>▸ Analyzed test results, investigated unexpected behavior, and documented validation procedures and issues to support successful product releases.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