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building scalable test automation frameworks and ensuring high system reliability for regulated clients. Experienced in cross-functional collaboration, backend validation, and process optimization within complex technical environments. Holds a valid EU residence permit and is based locally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Ensured rigorous product and data quality by executing complex Oracle SQL queries and validating massive datasets across regulated financial workflows.</w:t>
      </w:r>
    </w:p>
    <w:p>
      <w:r>
        <w:t>▸ Collaborated closely with crossfunctional SRE and development teams to explain release objectives, identify bottlenecks, and reduce defect leakage.</w:t>
      </w:r>
    </w:p>
    <w:p>
      <w:r>
        <w:t>▸ Streamlined test generation and documentation processes, including authoring standard operating procedures and maintaining clear tracking in JIRA.</w:t>
      </w:r>
    </w:p>
    <w:p>
      <w:r>
        <w:t>▸ Migrated and maintained robust automation frameworks using Playwright TypeScript and Java Selenium, boosting overall execution efficiency by 20%.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