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optimizing processes for regulated financial clients. Experienced in managing cross-functional teams, driving continuous integration, and translating complex business requirements into robust testing strategies. Currently based in Amstelveen with a valid EU residence permit, I am looking to bring my background in quality processes and automation to the team at Unity Partners.</w:t>
      </w:r>
    </w:p>
    <w:p>
      <w:pPr>
        <w:pStyle w:val="Heading1"/>
      </w:pPr>
      <w:r>
        <w:t xml:space="preserve"> KEY QUALIFICATIONS FOR TARGET ROLE</w:t>
      </w:r>
    </w:p>
    <w:p>
      <w:r>
        <w:t>▸ Managed crossfunctional agile teams and partnered with Product Owners to align technical testing strategies with business compliance needs.</w:t>
      </w:r>
    </w:p>
    <w:p>
      <w:r>
        <w:t>▸ Implemented CI/CD pipelines and provisioned environments using AWS and Terraform to maintain system availability and release stability.</w:t>
      </w:r>
    </w:p>
    <w:p>
      <w:r>
        <w:t>▸ Migrated legacy test frameworks to Playwright TypeScript, boosting execution efficiency by 20% within microservices architectures.</w:t>
      </w:r>
    </w:p>
    <w:p>
      <w:r>
        <w:t>▸ Executed backend database validations using Oracle SQL and maintained comprehensive test coverage reports using Sealights and Allure.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