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automation frameworks, REST API testing suites, and CI/CD pipelines using Java, Python, and modern tools. Currently based in Amstelveen with a valid EU residence permit, bringing strong expertise in backend validation, database queries, and end-to-end testing. Eager to support workflow development and robust test coverage for Webbing's global connectivity platform.</w:t>
      </w:r>
    </w:p>
    <w:p>
      <w:pPr>
        <w:pStyle w:val="Heading1"/>
      </w:pPr>
      <w:r>
        <w:t xml:space="preserve"> KEY QUALIFICATIONS FOR TARGET ROLE</w:t>
      </w:r>
    </w:p>
    <w:p>
      <w:r>
        <w:t>▸ Executed complex SQL queries and backend validations to ensure data integrity across large datasets and financial risk workflows.</w:t>
      </w:r>
    </w:p>
    <w:p>
      <w:r>
        <w:t>▸ Built and maintained endtoend test suites and automated CI/CD regression test builds using Jenkins, Docker, and AWS.</w:t>
      </w:r>
    </w:p>
    <w:p>
      <w:r>
        <w:t>▸ Developed robust automation frameworks from scratch utilizing Java and Python, ensuring high test coverage and rapid feedback loops.</w:t>
      </w:r>
    </w:p>
    <w:p>
      <w:r>
        <w:t>▸ Collaborated closely with crossfunctional teams and product owners to translate business requirements into effective technical testing strategies.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