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testing complex financial workflows, managing stakeholders, and leading test planning. While my background is rooted in core software and banking automation rather than SAP SuccessFactors, I bring strong expertise in end-to-end test coordination, data validation, and requirement analysis. I am currently based in Amstelveen with a valid EU residence permit and ready to contribute to Ubique Systems immediately.</w:t>
      </w:r>
    </w:p>
    <w:p>
      <w:pPr>
        <w:pStyle w:val="Heading1"/>
      </w:pPr>
      <w:r>
        <w:t xml:space="preserve"> KEY QUALIFICATIONS FOR TARGET ROLE</w:t>
      </w:r>
    </w:p>
    <w:p>
      <w:r>
        <w:t>▸ Led crossfunctional communication and hosted planning sessions with product owners and stakeholders to translate business needs into clear test plans and reduce defect leakage.</w:t>
      </w:r>
    </w:p>
    <w:p>
      <w:r>
        <w:t>▸ Executed extensive backend validation using Oracle SQL to ensure strict data integrity and consistency across large datasets and complex system workflows.</w:t>
      </w:r>
    </w:p>
    <w:p>
      <w:r>
        <w:t>▸ Coordinated regression testing, test status reporting, and release readiness activities across multitier environments for global enterprise clients.</w:t>
      </w:r>
    </w:p>
    <w:p>
      <w:r>
        <w:t>▸ Managed defect tracking processes utilizing JIRA and aligned testing scenarios closely with functional requirements to support successful golive deployments.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