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27, 2026</w:t>
      </w:r>
    </w:p>
    <w:p>
      <w:r>
        <w:t>Re: Technical Support Engineer — WLG</w:t>
      </w:r>
    </w:p>
    <w:p/>
    <w:p>
      <w:r>
        <w:t>Hi WLG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caught my attention because it bridges operations and engineering, an area where I have spent much of my career. While my background is rooted in QA automation and release management, I regularly handle troubleshooting, log analysis, and system integrations. In my recent work with global banking clients, I have focused on diagnosing production issues, coordinating with SRE teams, and ensuring that deployments run smoothly.</w:t>
      </w:r>
    </w:p>
    <w:p>
      <w:r>
        <w:t>I am comfortable working between development and support functions, tracking resolutions, and documenting processes to keep systems reliable. I also use tools like Gemini Code Assist to speed up troubleshooting and script generation.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2026-09-27T10:14:35Z</dcterms:created>
  <dcterms:modified xsi:type="dcterms:W3CDTF">2026-09-27T11:05:50Z</dcterms:modified>
  <cp:category/>
  <cp:contentStatus/>
</cp:coreProperties>
</file>