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07, 2026</w:t>
      </w:r>
    </w:p>
    <w:p>
      <w:r>
        <w:t>Re: Implementation Consultant — Octave</w:t>
      </w:r>
    </w:p>
    <w:p/>
    <w:p>
      <w:r>
        <w:t>Hi Octave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information management team's focus on turning complex customer requirements into working solutions closely aligns with my background in bridging technical systems and business needs. Throughout my career, I have worked extensively with cross-functional teams and stakeholders to analyze requirements, map data workflows, and deliver structured software implementations. I am comfortable guiding projects from initial planning through to deployment and testing.</w:t>
      </w:r>
    </w:p>
    <w:p>
      <w:r>
        <w:t>Working with asset-heavy engineering data and digital records requires both structured problem-solving and close collaboration with customers. I bring strong analytical skills and practical experience in system configuration and data validation. Using tools like Gemini Code Assist to streamline technical delivery has also helped me find practical ways to improve project efficiency.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2026-10-07T12:13:45Z</dcterms:created>
  <dcterms:modified xsi:type="dcterms:W3CDTF">2026-10-07T12:24:31Z</dcterms:modified>
  <cp:category/>
  <cp:contentStatus/>
</cp:coreProperties>
</file>