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31, 2026</w:t>
      </w:r>
    </w:p>
    <w:p>
      <w:r>
        <w:t>Re: Automation Engineer — Intralox</w:t>
      </w:r>
    </w:p>
    <w:p/>
    <w:p>
      <w:r>
        <w:t>Hi Intralox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your opening because of the focus on combining automation engineering with operator-facing design and structured QA practices. In my recent work with global financial clients, I migrated test frameworks to Playwright TypeScript and built reliable CI/CD pipelines to support continuous software delivery. I am comfortable working closely with cross-functional teams to solve issues structurally and ensure software updates maintain high standards of usability and performance.</w:t>
      </w:r>
    </w:p>
    <w:p>
      <w:r>
        <w:t>Using tools like Gemini Code Assist to streamline test generation has also helped me deliver efficient solutions without adding unnecessary complexity to the release process. I am glad to bring this mix of practical testing background and collaborative problem-solving to the Controls Product Engineering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