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17, 2026</w:t>
      </w:r>
    </w:p>
    <w:p>
      <w:r>
        <w:t>Re: Working Student AI Solutions — Loyens &amp; Loeff</w:t>
      </w:r>
    </w:p>
    <w:p/>
    <w:p>
      <w:r>
        <w:t>Hi Sophie Ravesteijn,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Loyens &amp; Loeff bridging legal expertise and AI transformation caught my attention. In my recent role at Tata Consultancy Services, I gained hands-on experience using Gemini Code Assist to streamline test generation and deployment scripts. I enjoy bringing structure to complex workflows and am comfortable translating business requirements into practical technical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2026-09-17T09:58:49Z</dcterms:created>
  <dcterms:modified xsi:type="dcterms:W3CDTF">2026-09-17T10:44:03Z</dcterms:modified>
  <cp:category/>
  <cp:contentStatus/>
</cp:coreProperties>
</file>