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06, 2026</w:t>
      </w:r>
    </w:p>
    <w:p>
      <w:r>
        <w:t>Re: Lead Agentic SDLC Engineer — Capgemini</w:t>
      </w:r>
    </w:p>
    <w:p/>
    <w:p>
      <w:r>
        <w:t>Hi Capgemini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agentic software delivery and AI-powered development workflows aligns well with my background in test automation and infrastructure. In my recent role at Tata Consultancy Services, I used Gemini Code Assist to streamline test generation scripts while building scalable automation frameworks using Playwright and TypeScript.</w:t>
      </w:r>
    </w:p>
    <w:p>
      <w:r>
        <w:t>I bring strong experience in cloud platforms, Terraform, and CI/CD pipeline integration, along with a practical approach to improving developer productivity and software delivery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2026-09-06T10:05:36Z</dcterms:created>
  <dcterms:modified xsi:type="dcterms:W3CDTF">2026-09-06T10:47:18Z</dcterms:modified>
  <cp:category/>
  <cp:contentStatus/>
</cp:coreProperties>
</file>