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27, 2026</w:t>
      </w:r>
    </w:p>
    <w:p>
      <w:r>
        <w:t>Re: Domain Architect Low Code Automation — ASML</w:t>
      </w:r>
    </w:p>
    <w:p/>
    <w:p>
      <w:r>
        <w:t>Hi ASML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automation and platform enablement aligns closely with my background in building scalable testing frameworks and managing CI/CD pipelines. In my recent work, I have focused on modernizing test execution using tools like Playwright and improving delivery speed.</w:t>
      </w:r>
    </w:p>
    <w:p>
      <w:r>
        <w:t>I have also incorporated AI tools such as Gemini Code Assist to streamline test generation and deployment scripts. Managing platform governance and ensuring system reliability are challenges I am familiar with from my work in financial and banking environments.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2026-10-27T11:02:56Z</dcterms:created>
  <dcterms:modified xsi:type="dcterms:W3CDTF">2026-10-27T11:22:41Z</dcterms:modified>
  <cp:category/>
  <cp:contentStatus/>
</cp:coreProperties>
</file>