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10, 2026</w:t>
      </w:r>
    </w:p>
    <w:p>
      <w:r>
        <w:t>Re: Implementatie manager — DPA Professionals</w:t>
      </w:r>
    </w:p>
    <w:p/>
    <w:p>
      <w:r>
        <w:t>Hi DPA Professionals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an implementation manager at DPA Financial Services caught my attention because it focuses on guiding complex change processes and connecting business needs with technical operations. Throughout my career in banking and financial environments, I have regularly worked alongside product owners and operations teams to document workflows, define standard operating procedures, and align technical delivery with business goals.</w:t>
      </w:r>
    </w:p>
    <w:p>
      <w:r>
        <w:t>I bring strong analytical skills and practical experience in bridging the gap between technical execution and business requirements. I appreciate how your organization helps financial institutions implement strategic changes while ensuring new working methods are properly adopted by the business.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2026-09-10T10:25:31Z</dcterms:created>
  <dcterms:modified xsi:type="dcterms:W3CDTF">2026-09-10T11:03:20Z</dcterms:modified>
  <cp:category/>
  <cp:contentStatus/>
</cp:coreProperties>
</file>