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10, 2026</w:t>
      </w:r>
    </w:p>
    <w:p>
      <w:r>
        <w:t>Re: Service Integration Engineer — Toyota Automated Logistics</w:t>
      </w:r>
    </w:p>
    <w:p/>
    <w:p>
      <w:r>
        <w:t>Hi Anissa Bejaoui,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at Toyota Automated Logistics caught my attention because it bridges technical problem-solving with system reliability and process improvement. Throughout my career, I have spent over 8 years working across complex banking and IT environments, focusing on root cause analysis, cross-functional collaboration, and maintaining system stability during releases. I am used to working closely between technical teams and operations to make sure system integrations run smoothly.</w:t>
      </w:r>
    </w:p>
    <w:p>
      <w:r>
        <w:t>I have also used AI tools like Gemini Code Assist to streamline my workflow and speed up test generation, which helps me focus more time on deep troubleshooting and system reliability. I appreciate how Toyota Automated Logistics brings together warehouse automation solutions, and I would be glad to bring my background in system integration and incident management to your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2026-09-10T10:49:35Z</dcterms:created>
  <dcterms:modified xsi:type="dcterms:W3CDTF">2026-09-10T11:11:02Z</dcterms:modified>
  <cp:category/>
  <cp:contentStatus/>
</cp:coreProperties>
</file>