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27, 2026</w:t>
      </w:r>
    </w:p>
    <w:p>
      <w:r>
        <w:t>Re: Specialist LIMS — Booston.io</w:t>
      </w:r>
    </w:p>
    <w:p/>
    <w:p>
      <w:r>
        <w:t>Hi Rhobin Brander,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was glad to see your opening for a Specialist LIMS at Booston.io, supporting the CWI at Vitens. In my previous work with complex financial and technical systems, I have spent years handling backend Oracle SQL validation, configuring environments, and working closely with various teams to ensure data quality and system reliability. I am comfortable diving into technical workflows, solving issues, and helping teams improve their digital tools.</w:t>
      </w:r>
    </w:p>
    <w:p>
      <w:r>
        <w:t>Working toward your goal of delivering top-quality drinking water relies heavily on stable, well-managed systems, and I would like to contribute my background in database validation and process improvement to your laboratory information systems.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