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Senior Software Engineer, Agents — Eye Security</w:t>
      </w:r>
    </w:p>
    <w:p/>
    <w:p>
      <w:r>
        <w:t>Hi Eye Security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agentic workflows and LLM-powered agents caught my attention because it focuses on practical engineering challenges like cost, latency, and correctness in a live SOC environment. Throughout my career, I have worked extensively with strongly typed languages, backend services, and CI/CD pipelines to ship reliable software. I have also used AI coding tools like Gemini Code Assist to streamline complex script generation and deployment tasks in my day-to-day work.</w:t>
      </w:r>
    </w:p>
    <w:p>
      <w:r>
        <w:t>I am comfortable picking up new technology stacks independently and look forward to contributing to your agentic SOC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2026-10-11T11:22:06Z</dcterms:created>
  <dcterms:modified xsi:type="dcterms:W3CDTF">2026-10-11T11:49:57Z</dcterms:modified>
  <cp:category/>
  <cp:contentStatus/>
</cp:coreProperties>
</file>