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10, 2026</w:t>
      </w:r>
    </w:p>
    <w:p>
      <w:r>
        <w:t>Re: D&amp;T Lead Expert Science and Labs — dsm-firmenich</w:t>
      </w:r>
    </w:p>
    <w:p/>
    <w:p>
      <w:r>
        <w:t>Hi Ruslana Lohina-Kazimierczak,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designing digital solutions for lab and research environments aligns closely with my background in test automation, system changes, and validation. Throughout my career, I have worked on building scalable frameworks, managing system updates, and collaborating with cross-functional users and suppliers to improve platform reliability. I have also used tools like Gemini Code Assist to streamline my workflow and improve delivery speed.</w:t>
      </w:r>
    </w:p>
    <w:p>
      <w:r>
        <w:t>Working at dsm-firmenich presents a great chance to apply my technical background to support digital transformation initiatives in science and innovation.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2026-10-10T11:16:02Z</dcterms:created>
  <dcterms:modified xsi:type="dcterms:W3CDTF">2026-10-10T11:38:48Z</dcterms:modified>
  <cp:category/>
  <cp:contentStatus/>
</cp:coreProperties>
</file>