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25, 2026</w:t>
      </w:r>
    </w:p>
    <w:p>
      <w:r>
        <w:t>Re: Senior DevOps Engineer — ThreatFabric</w:t>
      </w:r>
    </w:p>
    <w:p/>
    <w:p>
      <w:r>
        <w:t>Hi ThreatFabric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reliable infrastructure and scalable cloud-native operations at ThreatFabric matches well with my background in provisioning environments using AWS and Terraform. Throughout my career, I have worked extensively with CI/CD pipelines, containerization tools, and backend validation processes to support software delivery workflows. I have also used tools like Gemini Code Assist to streamline technical tasks and speed up delivery.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2026-09-25T10:36:52Z</dcterms:created>
  <dcterms:modified xsi:type="dcterms:W3CDTF">2026-09-25T10:55:52Z</dcterms:modified>
  <cp:category/>
  <cp:contentStatus/>
</cp:coreProperties>
</file>