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22, 2026</w:t>
      </w:r>
    </w:p>
    <w:p>
      <w:r>
        <w:t>Re: Techlead Low Code — IG&amp;H</w:t>
      </w:r>
    </w:p>
    <w:p/>
    <w:p>
      <w:r>
        <w:t>Hi IG&amp;H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innovative insurance solutions using low-code platforms caught my attention. Throughout my career, I have worked extensively with development teams, translating requirements into technical solutions and optimizing workflows. My background includes building robust automation frameworks, managing cloud infrastructure, and streamlining scripts using tools like Gemini Code Assist.</w:t>
      </w:r>
    </w:p>
    <w:p>
      <w:r>
        <w:t>I bring strong ownership and a collaborative mindset to every project I take on. I am eager to help your team build and scale new technical solutions while supporting my colleagues along the way.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2026-09-22T10:07:14Z</dcterms:created>
  <dcterms:modified xsi:type="dcterms:W3CDTF">2026-09-22T10:42:01Z</dcterms:modified>
  <cp:category/>
  <cp:contentStatus/>
</cp:coreProperties>
</file>