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19, 2026</w:t>
      </w:r>
    </w:p>
    <w:p>
      <w:r>
        <w:t>Re: Senior QA Engineer — Kake</w:t>
      </w:r>
    </w:p>
    <w:p/>
    <w:p>
      <w:r>
        <w:t>Hi Kake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high-performance, scalable systems matches my background testing complex banking and financial applications. I have spent over eight years owning quality end-to-end, writing both manual test cases and automated scripts with tools like Selenium, Playwright, and Java. I am comfortable working independently in remote settings and collaborating closely with engineering teams to resolve defects and improve release stability.</w:t>
      </w:r>
    </w:p>
    <w:p>
      <w:r>
        <w:t>Working with your distributed team also appeals to me, as I am used to coordinating across time zones and aligning technical testing strategies with product requirements. Additionally, I have experience using AI tooling like Gemini Code Assist to streamline test generation.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2026-09-19T09:49:39Z</dcterms:created>
  <dcterms:modified xsi:type="dcterms:W3CDTF">2026-09-19T10:03:02Z</dcterms:modified>
  <cp:category/>
  <cp:contentStatus/>
</cp:coreProperties>
</file>