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14, 2026</w:t>
      </w:r>
    </w:p>
    <w:p>
      <w:r>
        <w:t>Re: Intermediate Financial Systems Analyst — Aegon Asset Management</w:t>
      </w:r>
    </w:p>
    <w:p/>
    <w:p>
      <w:r>
        <w:t>Hi Aegon Asset Management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an Intermediate Financial Systems Analyst caught my attention because it combines finance application support with process improvements and cross-functional collaboration. Throughout my career working with financial and banking clients, I have spent a lot of time analyzing data, writing SQL queries to validate backend systems, and partnering with business teams to resolve issues.</w:t>
      </w:r>
    </w:p>
    <w:p>
      <w:r>
        <w:t>I am comfortable taking ownership of applications, handling support tickets, and ensuring that regular reporting processes run smoothly without business disruption. Coming from a technical background, I enjoy digging into root causes of system issues and working out practical ways to make processes more efficient.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2026-10-14T10:15:18Z</dcterms:created>
  <dcterms:modified xsi:type="dcterms:W3CDTF">2026-10-14T10:59:00Z</dcterms:modified>
  <cp:category/>
  <cp:contentStatus/>
</cp:coreProperties>
</file>