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September 23, 2026</w:t>
      </w:r>
    </w:p>
    <w:p>
      <w:r>
        <w:t>Re: Medior Test Engineer — Ministry of Education, Culture and Science</w:t>
      </w:r>
    </w:p>
    <w:p/>
    <w:p>
      <w:r>
        <w:t>Hi Ministry of Education, Culture and Science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thinking about quality, risks, and test automation right from the first design choices fits my background well. In my recent work at Tata Consultancy Services, I migrated test frameworks from Selenium to Playwright and Java for complex microservices workflows, which improved execution speed. I am used to working in DevOps teams where developers, engineers, and testers share responsibility for software reliability, from front-end interfaces to back-end processing.</w:t>
      </w:r>
    </w:p>
    <w:p>
      <w:r>
        <w:t>I also appreciate your openness to modern tooling, and I have used tools like Gemini Code Assist to help streamline test generation and deployment tasks. I would enjoy bringing my hands-on testing background and my experience with Playwright and Java to the ICT OI department at DUO.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2026-09-23T09:43:39Z</dcterms:created>
  <dcterms:modified xsi:type="dcterms:W3CDTF">2026-09-23T10:33:19Z</dcterms:modified>
  <cp:category/>
  <cp:contentStatus/>
</cp:coreProperties>
</file>