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24, 2026</w:t>
      </w:r>
    </w:p>
    <w:p>
      <w:r>
        <w:t>Re: Test Engineer — Gaming Laboratories International, LLC</w:t>
      </w:r>
    </w:p>
    <w:p/>
    <w:p>
      <w:r>
        <w:t>Hi Gaming Laboratories International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testing products to identify potential defects and ensure regulatory compliance matches my background in quality assurance. In my recent roles, I have focused on evaluating technical requirements, executing thorough test methods, and documenting results clearly to support reliable releases.</w:t>
      </w:r>
    </w:p>
    <w:p>
      <w:r>
        <w:t>I also use tools like Gemini Code Assist to streamline test generation scripts and improve the overall speed of quality checks. I am comfortable working with technical requirements and communicating testing status to relevant parties.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2026-09-24T10:20:14Z</dcterms:created>
  <dcterms:modified xsi:type="dcterms:W3CDTF">2026-09-24T10:53:29Z</dcterms:modified>
  <cp:category/>
  <cp:contentStatus/>
</cp:coreProperties>
</file>