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24, 2026</w:t>
      </w:r>
    </w:p>
    <w:p>
      <w:r>
        <w:t>Re: System Validation Lead — Hyva</w:t>
      </w:r>
    </w:p>
    <w:p/>
    <w:p>
      <w:r>
        <w:t>Hi Hyva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defining a long-term validation vision for connected services matches my background in building scalable frameworks and CI/CD pipelines. Throughout my career, I have worked with cross-functional teams to set validation strategies, improve test coverage, and align quality goals with product roadmaps. I have also used Gemini Code Assist to streamline test generation and support development workflows.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2026-09-24T10:24:31Z</dcterms:created>
  <dcterms:modified xsi:type="dcterms:W3CDTF">2026-09-24T10:55:31Z</dcterms:modified>
  <cp:category/>
  <cp:contentStatus/>
</cp:coreProperties>
</file>